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174E1" w14:textId="77777777" w:rsidR="007C4E8B" w:rsidRDefault="007C4E8B" w:rsidP="007C4E8B">
      <w:pPr>
        <w:spacing w:line="240" w:lineRule="auto"/>
        <w:jc w:val="center"/>
        <w:rPr>
          <w:rFonts w:ascii="Times New Roman" w:hAnsi="Times New Roman"/>
          <w:b/>
          <w:sz w:val="32"/>
          <w:szCs w:val="32"/>
        </w:rPr>
      </w:pPr>
      <w:r>
        <w:rPr>
          <w:rFonts w:ascii="Times New Roman" w:hAnsi="Times New Roman"/>
          <w:b/>
          <w:sz w:val="32"/>
          <w:szCs w:val="32"/>
        </w:rPr>
        <w:t>ATA DA AUDIÊNCIA PÚBLICA, REALIZADA PELA COMISSÃO PERMANENTE DE ORÇAMENTO, FINANÇAS E CONTABILIDADE, PARA DEMONSTRAÇÃO PELO PODER EXECUTIVO, DO CUMPRIMENTO DAS METAS FISCAIS DO 3º QUADRIMESTRE DE 2020.</w:t>
      </w:r>
    </w:p>
    <w:p w14:paraId="62DDDD23" w14:textId="77777777" w:rsidR="007C4E8B" w:rsidRDefault="007C4E8B" w:rsidP="007C4E8B">
      <w:pPr>
        <w:spacing w:after="0" w:line="240" w:lineRule="auto"/>
        <w:jc w:val="center"/>
        <w:rPr>
          <w:rFonts w:ascii="Times New Roman" w:hAnsi="Times New Roman"/>
          <w:b/>
          <w:sz w:val="28"/>
          <w:szCs w:val="28"/>
        </w:rPr>
      </w:pPr>
    </w:p>
    <w:p w14:paraId="74797C3A" w14:textId="77777777" w:rsidR="007C4E8B" w:rsidRDefault="007C4E8B" w:rsidP="007C4E8B">
      <w:pPr>
        <w:spacing w:after="0" w:line="240" w:lineRule="auto"/>
        <w:jc w:val="center"/>
        <w:rPr>
          <w:rFonts w:ascii="Times New Roman" w:hAnsi="Times New Roman"/>
          <w:b/>
          <w:sz w:val="28"/>
          <w:szCs w:val="28"/>
        </w:rPr>
      </w:pPr>
      <w:r>
        <w:rPr>
          <w:rFonts w:ascii="Times New Roman" w:hAnsi="Times New Roman"/>
          <w:b/>
          <w:sz w:val="28"/>
          <w:szCs w:val="28"/>
        </w:rPr>
        <w:t xml:space="preserve"> 26 DE FEVEREIRO DE 2021-</w:t>
      </w:r>
    </w:p>
    <w:p w14:paraId="739FA837" w14:textId="77777777" w:rsidR="007C4E8B" w:rsidRDefault="007C4E8B" w:rsidP="007C4E8B">
      <w:pPr>
        <w:spacing w:after="0" w:line="240" w:lineRule="auto"/>
        <w:jc w:val="both"/>
        <w:rPr>
          <w:rFonts w:ascii="Times New Roman" w:hAnsi="Times New Roman"/>
          <w:b/>
          <w:sz w:val="28"/>
          <w:szCs w:val="28"/>
        </w:rPr>
      </w:pPr>
    </w:p>
    <w:p w14:paraId="4F053C97" w14:textId="77777777" w:rsidR="007C4E8B" w:rsidRDefault="007C4E8B" w:rsidP="007C4E8B">
      <w:pPr>
        <w:spacing w:after="0" w:line="240" w:lineRule="auto"/>
        <w:jc w:val="both"/>
        <w:rPr>
          <w:rFonts w:ascii="Times New Roman" w:hAnsi="Times New Roman"/>
          <w:b/>
          <w:sz w:val="28"/>
          <w:szCs w:val="28"/>
        </w:rPr>
      </w:pPr>
    </w:p>
    <w:p w14:paraId="16F25B61" w14:textId="77777777" w:rsidR="007C4E8B" w:rsidRDefault="007C4E8B" w:rsidP="007C4E8B">
      <w:pPr>
        <w:spacing w:after="0" w:line="240" w:lineRule="auto"/>
        <w:jc w:val="both"/>
        <w:rPr>
          <w:rFonts w:ascii="Times New Roman" w:hAnsi="Times New Roman"/>
          <w:b/>
          <w:sz w:val="28"/>
          <w:szCs w:val="28"/>
        </w:rPr>
      </w:pPr>
    </w:p>
    <w:p w14:paraId="6AA848A4" w14:textId="77777777" w:rsidR="007C4E8B" w:rsidRDefault="007C4E8B" w:rsidP="007C4E8B">
      <w:pPr>
        <w:spacing w:after="0" w:line="240" w:lineRule="auto"/>
        <w:jc w:val="both"/>
        <w:rPr>
          <w:rFonts w:ascii="Times New Roman" w:hAnsi="Times New Roman"/>
          <w:b/>
          <w:sz w:val="28"/>
          <w:szCs w:val="28"/>
        </w:rPr>
      </w:pPr>
    </w:p>
    <w:p w14:paraId="54F7A274" w14:textId="77777777" w:rsidR="007C4E8B" w:rsidRPr="00962A0A" w:rsidRDefault="007C4E8B" w:rsidP="007C4E8B">
      <w:pPr>
        <w:spacing w:after="0" w:line="360" w:lineRule="auto"/>
        <w:jc w:val="both"/>
        <w:rPr>
          <w:rFonts w:ascii="Times New Roman" w:hAnsi="Times New Roman"/>
          <w:sz w:val="24"/>
          <w:szCs w:val="24"/>
        </w:rPr>
      </w:pPr>
      <w:r>
        <w:rPr>
          <w:rFonts w:ascii="Times New Roman" w:hAnsi="Times New Roman"/>
          <w:sz w:val="24"/>
          <w:szCs w:val="24"/>
        </w:rPr>
        <w:t xml:space="preserve">Aos vinte e seis dias do mês de fevereiro do ano de dois mil e vinte e um, nesta cidade de Itanhaém, na sede do Poder Legislativo Municipal, à sala “Dom Edílio José Soares”, às 10h57min, realizou-se a Audiência Pública para Demonstração, pelo Poder Executivo, do Cumprimento das Metas Fiscais do 3º Quadrimestre de 2020, realizada pela Comissão de Orçamento, Finanças e Contabilidade, presidida pelo nobre Edil </w:t>
      </w:r>
      <w:r w:rsidRPr="00F37A9B">
        <w:rPr>
          <w:rFonts w:ascii="Times New Roman" w:hAnsi="Times New Roman"/>
          <w:sz w:val="24"/>
          <w:szCs w:val="24"/>
        </w:rPr>
        <w:t xml:space="preserve">Fernando </w:t>
      </w:r>
      <w:r>
        <w:rPr>
          <w:rFonts w:ascii="Times New Roman" w:hAnsi="Times New Roman"/>
          <w:sz w:val="24"/>
          <w:szCs w:val="24"/>
        </w:rPr>
        <w:t>d</w:t>
      </w:r>
      <w:r w:rsidRPr="00F37A9B">
        <w:rPr>
          <w:rFonts w:ascii="Times New Roman" w:hAnsi="Times New Roman"/>
          <w:sz w:val="24"/>
          <w:szCs w:val="24"/>
        </w:rPr>
        <w:t xml:space="preserve">a Silva Xavier </w:t>
      </w:r>
      <w:r w:rsidR="00922B40">
        <w:rPr>
          <w:rFonts w:ascii="Times New Roman" w:hAnsi="Times New Roman"/>
          <w:sz w:val="24"/>
          <w:szCs w:val="24"/>
        </w:rPr>
        <w:t xml:space="preserve">de </w:t>
      </w:r>
      <w:r w:rsidRPr="00F37A9B">
        <w:rPr>
          <w:rFonts w:ascii="Times New Roman" w:hAnsi="Times New Roman"/>
          <w:sz w:val="24"/>
          <w:szCs w:val="24"/>
        </w:rPr>
        <w:t>Miranda</w:t>
      </w:r>
      <w:r>
        <w:rPr>
          <w:rFonts w:ascii="Times New Roman" w:hAnsi="Times New Roman"/>
          <w:sz w:val="24"/>
          <w:szCs w:val="24"/>
        </w:rPr>
        <w:t xml:space="preserve">, </w:t>
      </w:r>
      <w:r w:rsidR="00922B40">
        <w:rPr>
          <w:rFonts w:ascii="Times New Roman" w:hAnsi="Times New Roman"/>
          <w:sz w:val="24"/>
          <w:szCs w:val="24"/>
        </w:rPr>
        <w:t>Presidente da</w:t>
      </w:r>
      <w:r>
        <w:rPr>
          <w:rFonts w:ascii="Times New Roman" w:hAnsi="Times New Roman"/>
          <w:sz w:val="24"/>
          <w:szCs w:val="24"/>
        </w:rPr>
        <w:t xml:space="preserve"> </w:t>
      </w:r>
      <w:r w:rsidR="00922B40">
        <w:rPr>
          <w:rFonts w:ascii="Times New Roman" w:hAnsi="Times New Roman"/>
          <w:sz w:val="24"/>
          <w:szCs w:val="24"/>
        </w:rPr>
        <w:t>C</w:t>
      </w:r>
      <w:r>
        <w:rPr>
          <w:rFonts w:ascii="Times New Roman" w:hAnsi="Times New Roman"/>
          <w:sz w:val="24"/>
          <w:szCs w:val="24"/>
        </w:rPr>
        <w:t>omissão</w:t>
      </w:r>
      <w:r w:rsidR="00922B40">
        <w:rPr>
          <w:rFonts w:ascii="Times New Roman" w:hAnsi="Times New Roman"/>
          <w:sz w:val="24"/>
          <w:szCs w:val="24"/>
        </w:rPr>
        <w:t xml:space="preserve"> e com a participação dos nobres Vereadores Wilson Oliveira – membro da Comissão, Silvio Cesar de Oliveira – Presidente da Câmara Municipal, Rutinaldo da Silva Bastos e Carlos Henrique Silvestre Garzon. Representando </w:t>
      </w:r>
      <w:r>
        <w:rPr>
          <w:rFonts w:ascii="Times New Roman" w:hAnsi="Times New Roman"/>
          <w:sz w:val="24"/>
          <w:szCs w:val="24"/>
        </w:rPr>
        <w:t xml:space="preserve">o Poder Executivo, </w:t>
      </w:r>
      <w:r w:rsidR="00922B40">
        <w:rPr>
          <w:rFonts w:ascii="Times New Roman" w:hAnsi="Times New Roman"/>
          <w:sz w:val="24"/>
          <w:szCs w:val="24"/>
        </w:rPr>
        <w:t xml:space="preserve">estava presentes </w:t>
      </w:r>
      <w:r>
        <w:rPr>
          <w:rFonts w:ascii="Times New Roman" w:hAnsi="Times New Roman"/>
          <w:sz w:val="24"/>
          <w:szCs w:val="24"/>
        </w:rPr>
        <w:t xml:space="preserve">os </w:t>
      </w:r>
      <w:r w:rsidR="00922B40">
        <w:rPr>
          <w:rFonts w:ascii="Times New Roman" w:hAnsi="Times New Roman"/>
          <w:sz w:val="24"/>
          <w:szCs w:val="24"/>
        </w:rPr>
        <w:t>S</w:t>
      </w:r>
      <w:r>
        <w:rPr>
          <w:rFonts w:ascii="Times New Roman" w:hAnsi="Times New Roman"/>
          <w:sz w:val="24"/>
          <w:szCs w:val="24"/>
        </w:rPr>
        <w:t xml:space="preserve">enhores </w:t>
      </w:r>
      <w:r w:rsidR="00922B40">
        <w:rPr>
          <w:rFonts w:ascii="Times New Roman" w:hAnsi="Times New Roman"/>
          <w:sz w:val="24"/>
          <w:szCs w:val="24"/>
        </w:rPr>
        <w:t xml:space="preserve">Ronnie Alexandre de Aleluia - Secretário Municipal de Finanças, Douglas Luiz Rodrigues - Secretário Adjunto de Finanças, Ana Maria Mancini - Chefe de Gabinete e </w:t>
      </w:r>
      <w:r>
        <w:rPr>
          <w:rFonts w:ascii="Times New Roman" w:hAnsi="Times New Roman"/>
          <w:sz w:val="24"/>
          <w:szCs w:val="24"/>
        </w:rPr>
        <w:t>Michel Santos de Oliveira</w:t>
      </w:r>
      <w:r w:rsidR="00922B40">
        <w:rPr>
          <w:rFonts w:ascii="Times New Roman" w:hAnsi="Times New Roman"/>
          <w:sz w:val="24"/>
          <w:szCs w:val="24"/>
        </w:rPr>
        <w:t xml:space="preserve"> - </w:t>
      </w:r>
      <w:r>
        <w:rPr>
          <w:rFonts w:ascii="Times New Roman" w:hAnsi="Times New Roman"/>
          <w:sz w:val="24"/>
          <w:szCs w:val="24"/>
        </w:rPr>
        <w:t>Técnico Contábil</w:t>
      </w:r>
      <w:r w:rsidR="00922B40">
        <w:rPr>
          <w:rFonts w:ascii="Times New Roman" w:hAnsi="Times New Roman"/>
          <w:sz w:val="24"/>
          <w:szCs w:val="24"/>
        </w:rPr>
        <w:t xml:space="preserve">. Dando início </w:t>
      </w:r>
      <w:r>
        <w:rPr>
          <w:rFonts w:ascii="Times New Roman" w:hAnsi="Times New Roman"/>
          <w:sz w:val="24"/>
          <w:szCs w:val="24"/>
        </w:rPr>
        <w:t>aos trabalhos da audiência pública</w:t>
      </w:r>
      <w:r w:rsidR="00922B40">
        <w:rPr>
          <w:rFonts w:ascii="Times New Roman" w:hAnsi="Times New Roman"/>
          <w:sz w:val="24"/>
          <w:szCs w:val="24"/>
        </w:rPr>
        <w:t xml:space="preserve"> e após o agradecimento à todos os presentes, o Senhor Presidente da Comissão </w:t>
      </w:r>
      <w:r>
        <w:rPr>
          <w:rFonts w:ascii="Times New Roman" w:hAnsi="Times New Roman"/>
          <w:sz w:val="24"/>
          <w:szCs w:val="24"/>
        </w:rPr>
        <w:t xml:space="preserve">passou a palavra ao </w:t>
      </w:r>
      <w:r w:rsidR="00922B40">
        <w:rPr>
          <w:rFonts w:ascii="Times New Roman" w:hAnsi="Times New Roman"/>
          <w:sz w:val="24"/>
          <w:szCs w:val="24"/>
        </w:rPr>
        <w:t>S</w:t>
      </w:r>
      <w:r>
        <w:rPr>
          <w:rFonts w:ascii="Times New Roman" w:hAnsi="Times New Roman"/>
          <w:sz w:val="24"/>
          <w:szCs w:val="24"/>
        </w:rPr>
        <w:t xml:space="preserve">enhor Douglas Luiz Rodrigues, que se manifestou nos seguintes termos: “Senhor Presidente, Nobres Vereadores, Membros da Comissão Permanente de Orçamento, Finanças e Contabilidade, Senhoras e Senhores. O § 4º do artigo 9º, da Lei Complementar nº 101, de 4 de maio de 2000 – Lei de Responsabilidade Fiscal, determina ao Poder Executivo demonstrar e avaliar o cumprimento das metas fiscais de cada quadrimestre, objetivando um bom desempenho da Execução Orçamentária com transparência. Assim, esta audiência visa demonstrar aos presentes a execução do 3º Quadrimestre do exercício financeiro de 2020. RECEITA: No transcorrer da execução orçamentária e após o encerramento do 3º quadrimestre de 2020, a arrecadação municipal efetivamente apurada foi de R$ 484.247.414,95 (quatrocentos e oitenta e quatro milhões, duzentos e quarenta e sete mil, quatrocentos e quatorze reais e noventa e cinco </w:t>
      </w:r>
      <w:r>
        <w:rPr>
          <w:rFonts w:ascii="Times New Roman" w:hAnsi="Times New Roman"/>
          <w:sz w:val="24"/>
          <w:szCs w:val="24"/>
        </w:rPr>
        <w:lastRenderedPageBreak/>
        <w:t xml:space="preserve">centavos), apresentando um superávit de arrecadação no valor de R$ 16.899.415,95 (dezesseis milhões, oitocentos e noventa e nove mil, quatrocentos e quinze reais e noventa e cinco centavos), DESPESA: Quanto à despesa, vale ressaltar que o Município processa seus empenhos obedecendo ao princípio da anualidade, em atendimento ao disposto no artigo 60 da Lei nº 4.320/64. O valor empenhado até 31 de dezembro de 2020 totaliza o montante de R$ 476.091.283,47 (quatrocentos e setenta e seis milhões, noventa e um mil, duzentos e oitenta e três reais e quarenta e sete centavos), incluídos aqui as despesas do Instituto de Previdência Municipal e do Poder Legislativo. As despesas efetivamente liquidadas no período somam R$ 471.490.445,92 (quatrocentos e setenta e um milhões, quatrocentos e noventa mil, quatrocentos e quarenta e cinco reais e noventa e dois centavos). Na execução orçamentária vale destacar o superávit na execução orçamentária de R$ 12.756.969,03 (doze milhões, setecentos e cinquenta e seis mil, novecentos e sessenta e nove reais e três centavos), em relação às despesas liquidadas. COMPOSIÇÃO DA RECEITA CORRENTE LÍQUIDA: A Receita Corrente Líquida apurada no encerramento do 3º quadrimestre de 2020, apresentou o valor de R$ 415.273.849,85 (quatrocentos e quinze milhões, duzentos e setenta e três mil, oitocentos e quarenta e nove reais e oitenta e cinco centavos), estando sua composição demonstrada da seguinte forma: Total das Receitas Correntes: R$ 461.936.894,58 (quatrocentos e sessenta e um milhões, novecentos e trinta e seis mil, oitocentos e noventa e quatro reais e cinquenta e oito centavos); Deduções - Contribuição do Servidor para Regime Próprio de Previdência: R$ 28.360.803,28 (vinte e oito milhões, trezentos e sessenta mil, oitocentos e três reais e vinte e oito centavos); </w:t>
      </w:r>
      <w:r w:rsidRPr="00BF4EFD">
        <w:rPr>
          <w:rFonts w:ascii="Times New Roman" w:hAnsi="Times New Roman"/>
          <w:sz w:val="24"/>
          <w:szCs w:val="24"/>
        </w:rPr>
        <w:t>Compo</w:t>
      </w:r>
      <w:r>
        <w:rPr>
          <w:rFonts w:ascii="Times New Roman" w:hAnsi="Times New Roman"/>
          <w:sz w:val="24"/>
          <w:szCs w:val="24"/>
        </w:rPr>
        <w:t xml:space="preserve">sição Financeira entre Regime de Previdência: R$ 1.786.740,25 (um milhão, setecentos e oitenta e seis mil, setecentos e quarenta reais e vinte e cinco centavos); FUNDEB: R$ 16.515.501,20 (dezesseis milhões, quinhentos e quinze mil, quinhentos e um reais e vinte centavos); Total das Deduções: R$ 46.663.044,73 (quarenta e seis milhões, seiscentos e sessenta e três mil, quarenta e quatro reais e setenta e três centavos); Receita Corrente Líquida: R$ 415.273.849,85 (quatrocentos e quinze milhões, duzentos e setenta e três mil, oitocentos e quarenta e nove reais e oitenta e cinco centavos). DEMONSTRATIVO DO RESULTADO PRIMÁRIO: Resultado Primário é a diferença entre as receitas orçamentárias e as despesas orçamentárias, deduzindo das receitas orçamentárias, aquelas receitas de natureza financeira (receitas provenientes de aplicações financeiras e operações de créditos) e das despesas orçamentárias aquelas com amortização e juros da Dívida Pública Interna e Externa. Receita Primária Total: R$ 449.676.525,50 (quatrocentos e quarenta e nove milhões, seiscentos e setenta e seis mil, quinhentos e vinte e </w:t>
      </w:r>
      <w:r>
        <w:rPr>
          <w:rFonts w:ascii="Times New Roman" w:hAnsi="Times New Roman"/>
          <w:sz w:val="24"/>
          <w:szCs w:val="24"/>
        </w:rPr>
        <w:lastRenderedPageBreak/>
        <w:t xml:space="preserve">cinco reais e cinquenta centavos); Despesa Primária Total: R$ 411.027.559,60 (quatrocentos e onze milhões, vinte e sete mil, quinhentos e cinquenta e nove reais e sessenta centavos); Resultado Primário: R$ 38.648.965,90 (trinta e oito milhões, seiscentos e quarenta e oito mil, novecentos e sessenta e cinco reais e noventa centavos). DEMONSTRATIVO DO RESULTADO NOMINAL E DÍVIDA PÚBLICA MUNICIPAL: Resultado Nominal é a diferença entre a variação da dívida fiscal líquida entre dois períodos. A Dívida Pública é o resultado da diferença apurada entre a dívida pública e o ativo financeiro (disponibilidade de caixa, aplicações financeiras e outros ativos financeiros) atualizado, mais as receitas de privatizações. I – Dívida Consolidada - Posição em 31.12.2019: R$ 218.572.065,32 (duzentos e dezoito milhões quinhentos e setenta e dois mil, sessenta e cinco reais e trinta e dois centavos); Posição do 3º quadrimestre de 2020: R$ 274.034.327,95 (duzentos e setenta e quatro milhões, trinta e quatro mil, trezentos e vinte e sete reais e noventa e cinco centavos). II – Deduções- Posição em 31.12.2019: R$ 1.218.948,22 (um milhão, duzentos e dezoito mil, novecentos e quarenta e oito reais e vinte e dois centavos); Posição do 3º quadrimestre de 2020: R$ R$ 1.558.183,01 (um milhão, quinhentos e cinquenta e oito mil, cento e oitenta e três reais e um centavo) </w:t>
      </w:r>
      <w:r w:rsidRPr="00F44BB5">
        <w:rPr>
          <w:rFonts w:ascii="Times New Roman" w:hAnsi="Times New Roman"/>
          <w:sz w:val="24"/>
          <w:szCs w:val="24"/>
        </w:rPr>
        <w:t>*Disponibilidade de Caixa Bruta - Posição em 31.12.2019: R$ 20.457.382,08 (vinte milhões, quatrocentos e cinquenta e sete mil, trezentos e oitenta e dois reais e oito centavos); Posição do 3º quadrimestre de 2020: R$ 29.335.392,09 (vinte e nove milhões, trezentos e trinta e cinco mil, trezentos e noventa e dois reais e nove centavos); Restos a Pagar Processados (-) : Posição em 31.12.2019: R$ 21.379.040,92 (vinte e um milhões, trezentos e setenta e nove mil, quarenta reais e noventa e dois centavos); Posição do 3º Quadrimestre de 2020: R$ 37.824.809,01 (trinta e sete milhões, oitocentos e vinte e quatro mil, oitocentos e nove reais e um centavo.</w:t>
      </w:r>
      <w:r>
        <w:rPr>
          <w:rFonts w:ascii="Times New Roman" w:hAnsi="Times New Roman"/>
          <w:sz w:val="24"/>
          <w:szCs w:val="24"/>
        </w:rPr>
        <w:t xml:space="preserve"> </w:t>
      </w:r>
      <w:r w:rsidRPr="00F44BB5">
        <w:rPr>
          <w:rFonts w:ascii="Times New Roman" w:hAnsi="Times New Roman"/>
          <w:sz w:val="24"/>
          <w:szCs w:val="24"/>
        </w:rPr>
        <w:t xml:space="preserve">Demais Haveres Financeiros: </w:t>
      </w:r>
      <w:r w:rsidRPr="00785AAA">
        <w:rPr>
          <w:rFonts w:ascii="Times New Roman" w:hAnsi="Times New Roman"/>
          <w:sz w:val="24"/>
          <w:szCs w:val="24"/>
        </w:rPr>
        <w:t xml:space="preserve">Posição em 31.12.2019: R$ 1.218.948,22 (um milhão, duzentos e dezoito mil, novecentos e quarenta e oito reais e vinte e dois centavos); Posição do 3º quadrimestre de 2020: R$ 1.558.183,01 (um milhão, quinhentos e cinquenta e oito mil, cento e oitenta e três reais e um centavo); </w:t>
      </w:r>
      <w:r>
        <w:rPr>
          <w:rFonts w:ascii="Times New Roman" w:hAnsi="Times New Roman"/>
          <w:sz w:val="24"/>
          <w:szCs w:val="24"/>
        </w:rPr>
        <w:t xml:space="preserve">III – Dívida Consolidada Líquida (I-II) - Posição em 31.12.2019: R$ 217.353.107,10 (duzentos e dezessete milhões, trezentos e cinquenta e três mil, cento e sete reais e dez centavos); Posição do 3º quadrimestre de 2020: R$ 272.476.144,94 (duzentos e setenta e dois milhões, quatrocentos e setenta e seis mil, cento e quarenta e quatro reais e noventa e quatro centavos). IV – Receitas de Privatizações - Posição em 31.12.2019: R$ 0,00; Posição do 3º quadrimestre de 2020: R$ 0,00. V – Passivos Reconhecidos - Posição em 31.12.2019: R$ 0,00; Posição do 3º quadrimestre de 2020: R$ 0,00. VI – Dívida Fiscal Líquida </w:t>
      </w:r>
      <w:r>
        <w:rPr>
          <w:rFonts w:ascii="Times New Roman" w:hAnsi="Times New Roman"/>
          <w:sz w:val="24"/>
          <w:szCs w:val="24"/>
        </w:rPr>
        <w:lastRenderedPageBreak/>
        <w:t>(III+IV-V) - Posição em 31.12.2019: R$ 217.353.107,10 (duzentos e dezessete milhões, trezentos e cinquenta e três mil, cento e sete reais e dez centavos); Posição do 3º quadrimestre de 2020: R$ 272.476.144,94 (duzentos e setenta e dois milhões, quatrocentos e setenta e seis mil, cento e quarenta e quatro reais e noventa e quatro centavos). Resultado Nominal – Posição do 3º quadrimestre de 2020: R$ 55.123.037,84 (cinquenta e cinco milhões, cento e vinte e três mil, trinta e sete reais e oitenta e quatro centavos). DÍVIDA CONSOLIDADA LÍQUIDA: Segundo as normas estabelecidas na Resolução nº 40/2001 do Senado Federal, nosso Município tem como limite legal de endividamento o montante de R$ 498.328.619,82 (quatrocentos e noventa e oito milhões, trezentos e vinte e oito mil, seiscentos e dezenove reais e oitenta e dois centavos). Tal valor é composto pela Receita Corrente Líquida apurada no 3º quadrimestre de 2020, com acréscimo de 20% (vinte por cento), isto é, 120% (cento e vinte por cento) da RCL. A Dívida Consolidada Líquida do Município está plenamente enquadrada, já que em 31 de dezembro de 2020 seu montante era da ordem de R$ 272.476.144,94 (duzentos e setenta e dois milhões, quatrocentos e setenta e seis mil, cento e quarenta e quatro reais e noventa e quatro centavos), representando 65,61% (sessenta e cinco inteiros e sessenta e um centésimos por cento) da RCL. Assim sendo, era o que nos cumpria, em atendimento ao que dispõe o § 4º do artigo 9º da Lei de Responsabilidade Fiscal, apresentar aos senhores. Assim, Senhor Presidente, eu considero a apresentação encerrada e me coloco a disposição dos Senhores Vereadores e do público presente para elucidar dúvidas</w:t>
      </w:r>
      <w:r w:rsidR="00922B40">
        <w:rPr>
          <w:rFonts w:ascii="Times New Roman" w:hAnsi="Times New Roman"/>
          <w:sz w:val="24"/>
          <w:szCs w:val="24"/>
        </w:rPr>
        <w:t>,</w:t>
      </w:r>
      <w:r>
        <w:rPr>
          <w:rFonts w:ascii="Times New Roman" w:hAnsi="Times New Roman"/>
          <w:sz w:val="24"/>
          <w:szCs w:val="24"/>
        </w:rPr>
        <w:t xml:space="preserve"> prestando maiores esclarecimentos. Fizeram uso da palavra os nobres Edis Wilson Oliveira Santos, que indagou sobre os dados apresentados no demonstrativo do resultado nominal, em que se denota um aumento significativo da dívida consolidada posição em 31.12.2019 de R$ 218.572.065,32 (duzentos e dezoito milhões quinhentos e setenta e dois mil, sessenta e cinco reais e trinta e dois centavos) em 2019 para a posição do 3º quadrimestre de 2020 de R$ 274.034.327,95 (duzentos e setenta e quatro milhões, trinta e quatro mil, trezentos e vinte e sete reais e noventa e cinco centavos); e Rutinaldo da Silva Bastos, que também manifestou a preocupação com o aumento da nível de endividamento do Município com base na manifestação do Tribunal de Justiça de São Paulo que considerou o Município de Itanhaém como super endividado, bem como se a Municipalidade, representada pelo Secretário Adjunto de Finanças poderia afirmar categoricamente se não haveria risco de suspensão e prejuízo à prestação dos serviços públicos essenciais. Ainda com a palavra, </w:t>
      </w:r>
      <w:r w:rsidR="00922B40">
        <w:rPr>
          <w:rFonts w:ascii="Times New Roman" w:hAnsi="Times New Roman"/>
          <w:sz w:val="24"/>
          <w:szCs w:val="24"/>
        </w:rPr>
        <w:t xml:space="preserve">o </w:t>
      </w:r>
      <w:r>
        <w:rPr>
          <w:rFonts w:ascii="Times New Roman" w:hAnsi="Times New Roman"/>
          <w:sz w:val="24"/>
          <w:szCs w:val="24"/>
        </w:rPr>
        <w:t>Vereador Rutinaldo Bastos arguiu sobre o apontamento do Tribunal no relatório de 2017, acerca do crescente déficit ano a ano e se há solução ou um plano de contenção financeira e de saneamento das contas</w:t>
      </w:r>
      <w:r w:rsidR="00922B40">
        <w:rPr>
          <w:rFonts w:ascii="Times New Roman" w:hAnsi="Times New Roman"/>
          <w:sz w:val="24"/>
          <w:szCs w:val="24"/>
        </w:rPr>
        <w:t xml:space="preserve"> pela </w:t>
      </w:r>
      <w:r w:rsidR="00922B40">
        <w:rPr>
          <w:rFonts w:ascii="Times New Roman" w:hAnsi="Times New Roman"/>
          <w:sz w:val="24"/>
          <w:szCs w:val="24"/>
        </w:rPr>
        <w:lastRenderedPageBreak/>
        <w:t>Prefeitura</w:t>
      </w:r>
      <w:r>
        <w:rPr>
          <w:rFonts w:ascii="Times New Roman" w:hAnsi="Times New Roman"/>
          <w:sz w:val="24"/>
          <w:szCs w:val="24"/>
        </w:rPr>
        <w:t xml:space="preserve">, considerando que a meta de redução da dívida não </w:t>
      </w:r>
      <w:r w:rsidR="00922B40">
        <w:rPr>
          <w:rFonts w:ascii="Times New Roman" w:hAnsi="Times New Roman"/>
          <w:sz w:val="24"/>
          <w:szCs w:val="24"/>
        </w:rPr>
        <w:t xml:space="preserve">foi </w:t>
      </w:r>
      <w:r>
        <w:rPr>
          <w:rFonts w:ascii="Times New Roman" w:hAnsi="Times New Roman"/>
          <w:sz w:val="24"/>
          <w:szCs w:val="24"/>
        </w:rPr>
        <w:t xml:space="preserve">atingida. Após os esclarecimentos prestados pelo Secretário Adjunto de Finanças, Senhor Douglas Luiz Rodrigues, o Senhor Presidente da Comissão de Orçamento, Finanças e Contabilidade, Vereador </w:t>
      </w:r>
      <w:r w:rsidRPr="00F37A9B">
        <w:rPr>
          <w:rFonts w:ascii="Times New Roman" w:hAnsi="Times New Roman"/>
          <w:sz w:val="24"/>
          <w:szCs w:val="24"/>
        </w:rPr>
        <w:t xml:space="preserve">Fernando </w:t>
      </w:r>
      <w:r>
        <w:rPr>
          <w:rFonts w:ascii="Times New Roman" w:hAnsi="Times New Roman"/>
          <w:sz w:val="24"/>
          <w:szCs w:val="24"/>
        </w:rPr>
        <w:t>d</w:t>
      </w:r>
      <w:r w:rsidRPr="00F37A9B">
        <w:rPr>
          <w:rFonts w:ascii="Times New Roman" w:hAnsi="Times New Roman"/>
          <w:sz w:val="24"/>
          <w:szCs w:val="24"/>
        </w:rPr>
        <w:t>a Silva Xavier Miranda</w:t>
      </w:r>
      <w:r>
        <w:rPr>
          <w:rFonts w:ascii="Times New Roman" w:hAnsi="Times New Roman"/>
          <w:sz w:val="24"/>
          <w:szCs w:val="24"/>
        </w:rPr>
        <w:t xml:space="preserve"> agradeceu a presença da Secretária Municipal de Gestão e Controle, Doutora Mara Sanches Figueiredo, e não havendo </w:t>
      </w:r>
      <w:r w:rsidR="00922B40">
        <w:rPr>
          <w:rFonts w:ascii="Times New Roman" w:hAnsi="Times New Roman"/>
          <w:sz w:val="24"/>
          <w:szCs w:val="24"/>
        </w:rPr>
        <w:t xml:space="preserve">mais </w:t>
      </w:r>
      <w:r>
        <w:rPr>
          <w:rFonts w:ascii="Times New Roman" w:hAnsi="Times New Roman"/>
          <w:sz w:val="24"/>
          <w:szCs w:val="24"/>
        </w:rPr>
        <w:t>nenhuma manifestação, declarou encerrada a audiência pública.” Para constar, eu, _____________________, Ana Marcia Muniz (Diretora Parlamentar), transcrevi a presente ata, a qual irá devidamente assinada pelo Presidente da Comissão de Orçamento, Finanças e Contabilidade e por mim. Sala “Dom Idílio José Soares”, vinte e seis de fevereiro de dois mil e vinte e um.</w:t>
      </w:r>
    </w:p>
    <w:p w14:paraId="3B20250A" w14:textId="77777777" w:rsidR="007C4E8B" w:rsidRDefault="00F227EC" w:rsidP="007C4E8B">
      <w:pPr>
        <w:spacing w:after="0" w:line="360" w:lineRule="auto"/>
        <w:jc w:val="center"/>
        <w:rPr>
          <w:rFonts w:ascii="Times New Roman" w:hAnsi="Times New Roman"/>
          <w:b/>
          <w:i/>
          <w:sz w:val="24"/>
          <w:szCs w:val="24"/>
        </w:rPr>
      </w:pPr>
      <w:r>
        <w:rPr>
          <w:rFonts w:ascii="Times New Roman" w:hAnsi="Times New Roman"/>
          <w:b/>
          <w:i/>
          <w:sz w:val="24"/>
          <w:szCs w:val="24"/>
        </w:rPr>
        <w:t xml:space="preserve"> </w:t>
      </w:r>
    </w:p>
    <w:p w14:paraId="5B39D5DC" w14:textId="77777777" w:rsidR="007C4E8B" w:rsidRDefault="007C4E8B" w:rsidP="007C4E8B">
      <w:pPr>
        <w:spacing w:after="0" w:line="360" w:lineRule="auto"/>
        <w:jc w:val="center"/>
        <w:rPr>
          <w:rFonts w:ascii="Times New Roman" w:hAnsi="Times New Roman"/>
          <w:b/>
          <w:i/>
          <w:sz w:val="24"/>
          <w:szCs w:val="24"/>
        </w:rPr>
      </w:pPr>
    </w:p>
    <w:p w14:paraId="54CE41F8" w14:textId="77777777" w:rsidR="007C4E8B" w:rsidRDefault="007C4E8B" w:rsidP="007C4E8B">
      <w:pPr>
        <w:spacing w:after="0" w:line="360" w:lineRule="auto"/>
        <w:jc w:val="center"/>
        <w:rPr>
          <w:rFonts w:ascii="Times New Roman" w:hAnsi="Times New Roman"/>
          <w:b/>
          <w:i/>
          <w:sz w:val="24"/>
          <w:szCs w:val="24"/>
        </w:rPr>
      </w:pPr>
    </w:p>
    <w:p w14:paraId="07C5BA43" w14:textId="77777777" w:rsidR="00914387" w:rsidRDefault="00914387" w:rsidP="007C4E8B">
      <w:pPr>
        <w:spacing w:after="0" w:line="360" w:lineRule="auto"/>
        <w:jc w:val="center"/>
        <w:rPr>
          <w:rFonts w:ascii="Times New Roman" w:hAnsi="Times New Roman"/>
          <w:b/>
          <w:i/>
          <w:sz w:val="24"/>
          <w:szCs w:val="24"/>
        </w:rPr>
      </w:pPr>
    </w:p>
    <w:p w14:paraId="478756C9" w14:textId="77777777" w:rsidR="007C4E8B" w:rsidRDefault="007C4E8B" w:rsidP="007C4E8B">
      <w:pPr>
        <w:spacing w:after="0" w:line="360" w:lineRule="auto"/>
        <w:jc w:val="center"/>
        <w:rPr>
          <w:rFonts w:ascii="Times New Roman" w:hAnsi="Times New Roman"/>
          <w:b/>
          <w:i/>
          <w:sz w:val="24"/>
          <w:szCs w:val="24"/>
        </w:rPr>
      </w:pPr>
    </w:p>
    <w:p w14:paraId="2E192A92" w14:textId="77777777" w:rsidR="007C4E8B" w:rsidRDefault="007C4E8B" w:rsidP="007C4E8B">
      <w:pPr>
        <w:spacing w:after="0" w:line="360" w:lineRule="auto"/>
        <w:jc w:val="center"/>
        <w:rPr>
          <w:rFonts w:ascii="Times New Roman" w:hAnsi="Times New Roman"/>
          <w:b/>
          <w:i/>
          <w:sz w:val="24"/>
          <w:szCs w:val="24"/>
        </w:rPr>
      </w:pPr>
    </w:p>
    <w:p w14:paraId="1682FCCE" w14:textId="77777777" w:rsidR="007C4E8B" w:rsidRDefault="007C4E8B" w:rsidP="007C4E8B">
      <w:pPr>
        <w:spacing w:after="0" w:line="360" w:lineRule="auto"/>
        <w:jc w:val="center"/>
        <w:rPr>
          <w:rFonts w:ascii="Times New Roman" w:hAnsi="Times New Roman"/>
          <w:b/>
          <w:iCs/>
          <w:sz w:val="24"/>
          <w:szCs w:val="24"/>
        </w:rPr>
      </w:pPr>
      <w:r w:rsidRPr="00F37A9B">
        <w:rPr>
          <w:rFonts w:ascii="Times New Roman" w:hAnsi="Times New Roman"/>
          <w:b/>
          <w:iCs/>
          <w:sz w:val="24"/>
          <w:szCs w:val="24"/>
        </w:rPr>
        <w:t>FERNANDO DA SILVA XAVIER</w:t>
      </w:r>
      <w:r>
        <w:rPr>
          <w:rFonts w:ascii="Times New Roman" w:hAnsi="Times New Roman"/>
          <w:b/>
          <w:iCs/>
          <w:sz w:val="24"/>
          <w:szCs w:val="24"/>
        </w:rPr>
        <w:t xml:space="preserve"> DE</w:t>
      </w:r>
      <w:r w:rsidRPr="00F37A9B">
        <w:rPr>
          <w:rFonts w:ascii="Times New Roman" w:hAnsi="Times New Roman"/>
          <w:b/>
          <w:iCs/>
          <w:sz w:val="24"/>
          <w:szCs w:val="24"/>
        </w:rPr>
        <w:t xml:space="preserve"> MIRANDA</w:t>
      </w:r>
    </w:p>
    <w:p w14:paraId="3A29358A" w14:textId="77777777" w:rsidR="007C4E8B" w:rsidRDefault="007C4E8B" w:rsidP="007C4E8B">
      <w:pPr>
        <w:spacing w:after="0" w:line="360" w:lineRule="auto"/>
        <w:jc w:val="center"/>
        <w:rPr>
          <w:rFonts w:ascii="Times New Roman" w:hAnsi="Times New Roman"/>
          <w:b/>
          <w:iCs/>
          <w:sz w:val="24"/>
          <w:szCs w:val="24"/>
        </w:rPr>
      </w:pPr>
      <w:r>
        <w:rPr>
          <w:rFonts w:ascii="Times New Roman" w:hAnsi="Times New Roman"/>
          <w:b/>
          <w:iCs/>
          <w:sz w:val="24"/>
          <w:szCs w:val="24"/>
        </w:rPr>
        <w:t>COMISSÃO DE ORÇAMENTO, FINANÇAS E CONTABILIDADE</w:t>
      </w:r>
    </w:p>
    <w:p w14:paraId="59F7CCA4" w14:textId="77777777" w:rsidR="007C4E8B" w:rsidRPr="00F37A9B" w:rsidRDefault="007C4E8B" w:rsidP="007C4E8B">
      <w:pPr>
        <w:spacing w:after="0" w:line="360" w:lineRule="auto"/>
        <w:jc w:val="center"/>
        <w:rPr>
          <w:rFonts w:ascii="Times New Roman" w:hAnsi="Times New Roman"/>
          <w:b/>
          <w:iCs/>
          <w:sz w:val="24"/>
          <w:szCs w:val="24"/>
        </w:rPr>
      </w:pPr>
      <w:r>
        <w:rPr>
          <w:rFonts w:ascii="Times New Roman" w:hAnsi="Times New Roman"/>
          <w:b/>
          <w:iCs/>
          <w:sz w:val="24"/>
          <w:szCs w:val="24"/>
        </w:rPr>
        <w:t xml:space="preserve">PRESIDENTE </w:t>
      </w:r>
    </w:p>
    <w:p w14:paraId="1272A3CC" w14:textId="77777777" w:rsidR="007C4E8B" w:rsidRDefault="007C4E8B" w:rsidP="007C4E8B">
      <w:pPr>
        <w:spacing w:after="0" w:line="360" w:lineRule="auto"/>
        <w:jc w:val="center"/>
      </w:pPr>
    </w:p>
    <w:p w14:paraId="53027205" w14:textId="77777777" w:rsidR="00C32D67" w:rsidRDefault="00C32D67" w:rsidP="007C4E8B">
      <w:pPr>
        <w:spacing w:after="0" w:line="360" w:lineRule="auto"/>
      </w:pPr>
    </w:p>
    <w:sectPr w:rsidR="00C32D67" w:rsidSect="007C4E8B">
      <w:pgSz w:w="11906" w:h="16838"/>
      <w:pgMar w:top="2268" w:right="99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8B"/>
    <w:rsid w:val="003E13FC"/>
    <w:rsid w:val="007C4E8B"/>
    <w:rsid w:val="00914387"/>
    <w:rsid w:val="00922B40"/>
    <w:rsid w:val="009B6E5B"/>
    <w:rsid w:val="009F1A9B"/>
    <w:rsid w:val="00A52D69"/>
    <w:rsid w:val="00BF4B8D"/>
    <w:rsid w:val="00C32D67"/>
    <w:rsid w:val="00EF74AD"/>
    <w:rsid w:val="00F22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CA0F"/>
  <w15:chartTrackingRefBased/>
  <w15:docId w15:val="{2A66F7B3-11B4-49FC-B8BE-EC9FD99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8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Marcia Muniz</dc:creator>
  <cp:keywords/>
  <dc:description/>
  <cp:lastModifiedBy>comunicação</cp:lastModifiedBy>
  <cp:revision>2</cp:revision>
  <cp:lastPrinted>2021-03-12T18:45:00Z</cp:lastPrinted>
  <dcterms:created xsi:type="dcterms:W3CDTF">2021-03-18T18:35:00Z</dcterms:created>
  <dcterms:modified xsi:type="dcterms:W3CDTF">2021-03-18T18:35:00Z</dcterms:modified>
</cp:coreProperties>
</file>